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F08F8" w14:textId="212FFF25" w:rsidR="00E400FB" w:rsidRDefault="00595715" w:rsidP="00DC5AD9">
      <w:pPr>
        <w:spacing w:line="500" w:lineRule="exact"/>
        <w:jc w:val="center"/>
        <w:outlineLvl w:val="0"/>
        <w:rPr>
          <w:rFonts w:ascii="黑体" w:eastAsia="黑体" w:hAnsi="黑体"/>
          <w:color w:val="000000" w:themeColor="text1"/>
          <w:sz w:val="40"/>
          <w:szCs w:val="40"/>
        </w:rPr>
      </w:pPr>
      <w:r>
        <w:rPr>
          <w:rFonts w:ascii="黑体" w:eastAsia="黑体" w:hAnsi="黑体" w:hint="eastAsia"/>
          <w:color w:val="000000" w:themeColor="text1"/>
          <w:sz w:val="40"/>
          <w:szCs w:val="40"/>
          <w:lang w:bidi="hi-IN"/>
        </w:rPr>
        <w:t>202</w:t>
      </w:r>
      <w:r w:rsidR="00F43C72">
        <w:rPr>
          <w:rFonts w:ascii="黑体" w:eastAsia="黑体" w:hAnsi="黑体" w:hint="eastAsia"/>
          <w:color w:val="000000" w:themeColor="text1"/>
          <w:sz w:val="40"/>
          <w:szCs w:val="40"/>
          <w:lang w:bidi="hi-IN"/>
        </w:rPr>
        <w:t>5</w:t>
      </w:r>
      <w:r>
        <w:rPr>
          <w:rFonts w:ascii="黑体" w:eastAsia="黑体" w:hAnsi="黑体" w:hint="eastAsia"/>
          <w:color w:val="000000" w:themeColor="text1"/>
          <w:sz w:val="40"/>
          <w:szCs w:val="40"/>
        </w:rPr>
        <w:t>年研究生入学考试</w:t>
      </w:r>
      <w:bookmarkStart w:id="0" w:name="_GoBack"/>
      <w:bookmarkEnd w:id="0"/>
      <w:r>
        <w:rPr>
          <w:rFonts w:ascii="黑体" w:eastAsia="黑体" w:hAnsi="黑体" w:hint="eastAsia"/>
          <w:color w:val="000000" w:themeColor="text1"/>
          <w:sz w:val="40"/>
          <w:szCs w:val="40"/>
        </w:rPr>
        <w:t>自命题考试大纲</w:t>
      </w:r>
    </w:p>
    <w:p w14:paraId="194817FE" w14:textId="77777777" w:rsidR="00E400FB" w:rsidRDefault="00E400FB">
      <w:pPr>
        <w:spacing w:line="400" w:lineRule="exact"/>
        <w:ind w:firstLineChars="150" w:firstLine="482"/>
        <w:jc w:val="center"/>
        <w:rPr>
          <w:rFonts w:ascii="仿宋" w:eastAsia="仿宋" w:hAnsi="仿宋"/>
          <w:b/>
          <w:color w:val="000000" w:themeColor="text1"/>
          <w:sz w:val="32"/>
          <w:szCs w:val="32"/>
        </w:rPr>
      </w:pPr>
    </w:p>
    <w:p w14:paraId="7DCD3586" w14:textId="2D460E19" w:rsidR="00E400FB" w:rsidRDefault="00595715">
      <w:pPr>
        <w:spacing w:line="500" w:lineRule="exact"/>
        <w:jc w:val="center"/>
        <w:rPr>
          <w:rFonts w:ascii="仿宋" w:eastAsia="仿宋" w:hAnsi="仿宋"/>
          <w:color w:val="000000" w:themeColor="text1"/>
          <w:sz w:val="24"/>
          <w:szCs w:val="24"/>
        </w:rPr>
      </w:pPr>
      <w:r>
        <w:rPr>
          <w:rFonts w:ascii="仿宋" w:eastAsia="仿宋" w:hAnsi="仿宋"/>
          <w:color w:val="000000" w:themeColor="text1"/>
          <w:sz w:val="24"/>
          <w:szCs w:val="24"/>
        </w:rPr>
        <w:t>考试科目代码：</w:t>
      </w:r>
      <w:r w:rsidR="00DC5AD9">
        <w:rPr>
          <w:rFonts w:ascii="仿宋" w:eastAsia="仿宋" w:hAnsi="仿宋" w:hint="eastAsia"/>
          <w:color w:val="000000" w:themeColor="text1"/>
          <w:sz w:val="24"/>
          <w:szCs w:val="24"/>
        </w:rPr>
        <w:t>[</w:t>
      </w:r>
      <w:r w:rsidR="00DC5AD9">
        <w:rPr>
          <w:rFonts w:ascii="仿宋" w:eastAsia="仿宋" w:hAnsi="仿宋" w:hint="eastAsia"/>
          <w:color w:val="000000" w:themeColor="text1"/>
          <w:sz w:val="24"/>
          <w:szCs w:val="24"/>
        </w:rPr>
        <w:t>F031</w:t>
      </w:r>
      <w:r w:rsidR="00DC5AD9">
        <w:rPr>
          <w:rFonts w:ascii="仿宋" w:eastAsia="仿宋" w:hAnsi="仿宋"/>
          <w:color w:val="000000" w:themeColor="text1"/>
          <w:sz w:val="24"/>
          <w:szCs w:val="24"/>
        </w:rPr>
        <w:t>]</w:t>
      </w:r>
      <w:r>
        <w:rPr>
          <w:rFonts w:ascii="仿宋" w:eastAsia="仿宋" w:hAnsi="仿宋" w:hint="eastAsia"/>
          <w:color w:val="000000" w:themeColor="text1"/>
          <w:sz w:val="24"/>
          <w:szCs w:val="24"/>
        </w:rPr>
        <w:t xml:space="preserve">   </w:t>
      </w:r>
      <w:r>
        <w:rPr>
          <w:rFonts w:ascii="仿宋" w:eastAsia="仿宋" w:hAnsi="仿宋"/>
          <w:color w:val="000000" w:themeColor="text1"/>
          <w:sz w:val="24"/>
          <w:szCs w:val="24"/>
        </w:rPr>
        <w:t xml:space="preserve">    考试科目名称： </w:t>
      </w:r>
      <w:r>
        <w:rPr>
          <w:rFonts w:ascii="仿宋" w:eastAsia="仿宋" w:hAnsi="仿宋" w:hint="eastAsia"/>
          <w:color w:val="000000" w:themeColor="text1"/>
          <w:sz w:val="24"/>
          <w:szCs w:val="24"/>
        </w:rPr>
        <w:t>人身保险与财产保险</w:t>
      </w:r>
    </w:p>
    <w:p w14:paraId="448B561B" w14:textId="77777777" w:rsidR="00E400FB" w:rsidRDefault="00E400FB">
      <w:pPr>
        <w:spacing w:line="400" w:lineRule="exact"/>
        <w:ind w:firstLineChars="200" w:firstLine="643"/>
        <w:rPr>
          <w:rFonts w:ascii="仿宋" w:eastAsia="仿宋" w:hAnsi="仿宋"/>
          <w:b/>
          <w:color w:val="000000" w:themeColor="text1"/>
          <w:sz w:val="32"/>
          <w:szCs w:val="32"/>
        </w:rPr>
      </w:pPr>
    </w:p>
    <w:p w14:paraId="30733089" w14:textId="77777777" w:rsidR="00E400FB" w:rsidRDefault="00595715" w:rsidP="00F43C72">
      <w:pPr>
        <w:spacing w:beforeLines="50" w:before="156" w:afterLines="50" w:after="156" w:line="500" w:lineRule="exact"/>
        <w:ind w:firstLineChars="196" w:firstLine="551"/>
        <w:outlineLvl w:val="0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</w:rPr>
        <w:t>一、试卷结构</w:t>
      </w:r>
    </w:p>
    <w:p w14:paraId="4E19D2BB" w14:textId="77777777" w:rsidR="00E400FB" w:rsidRDefault="00595715" w:rsidP="00F43C72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Calibri"/>
          <w:kern w:val="0"/>
          <w:sz w:val="32"/>
          <w:szCs w:val="32"/>
        </w:rPr>
      </w:pPr>
      <w:r>
        <w:rPr>
          <w:rFonts w:ascii="仿宋_GB2312" w:eastAsia="仿宋_GB2312" w:hAnsi="Calibri" w:hint="eastAsia"/>
          <w:kern w:val="0"/>
          <w:sz w:val="32"/>
          <w:szCs w:val="32"/>
        </w:rPr>
        <w:t>1、试卷成绩及考试时间</w:t>
      </w:r>
    </w:p>
    <w:p w14:paraId="4FB63D67" w14:textId="77777777" w:rsidR="00E400FB" w:rsidRDefault="00595715" w:rsidP="00F43C72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Calibri"/>
          <w:kern w:val="0"/>
          <w:sz w:val="32"/>
          <w:szCs w:val="32"/>
        </w:rPr>
      </w:pPr>
      <w:r>
        <w:rPr>
          <w:rFonts w:ascii="仿宋_GB2312" w:eastAsia="仿宋_GB2312" w:hAnsi="Calibri" w:hint="eastAsia"/>
          <w:kern w:val="0"/>
          <w:sz w:val="32"/>
          <w:szCs w:val="32"/>
        </w:rPr>
        <w:t>本试卷满分为150分，考试时间为120分钟。</w:t>
      </w:r>
    </w:p>
    <w:p w14:paraId="1D5E80B8" w14:textId="77777777" w:rsidR="00E400FB" w:rsidRDefault="00595715" w:rsidP="00F43C72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Calibri"/>
          <w:kern w:val="0"/>
          <w:sz w:val="32"/>
          <w:szCs w:val="32"/>
        </w:rPr>
      </w:pPr>
      <w:r>
        <w:rPr>
          <w:rFonts w:ascii="仿宋_GB2312" w:eastAsia="仿宋_GB2312" w:hAnsi="Calibri" w:hint="eastAsia"/>
          <w:kern w:val="0"/>
          <w:sz w:val="32"/>
          <w:szCs w:val="32"/>
        </w:rPr>
        <w:t>2、答题方式：闭卷、笔试</w:t>
      </w:r>
    </w:p>
    <w:p w14:paraId="4D7CE6B0" w14:textId="77777777" w:rsidR="00E400FB" w:rsidRDefault="00595715" w:rsidP="00F43C72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Calibri"/>
          <w:kern w:val="0"/>
          <w:sz w:val="32"/>
          <w:szCs w:val="32"/>
        </w:rPr>
      </w:pPr>
      <w:r>
        <w:rPr>
          <w:rFonts w:ascii="仿宋_GB2312" w:eastAsia="仿宋_GB2312" w:hAnsi="Calibri" w:hint="eastAsia"/>
          <w:kern w:val="0"/>
          <w:sz w:val="32"/>
          <w:szCs w:val="32"/>
        </w:rPr>
        <w:t>3、试卷内容结构</w:t>
      </w:r>
    </w:p>
    <w:p w14:paraId="4BAAD197" w14:textId="77777777" w:rsidR="00E400FB" w:rsidRDefault="00595715" w:rsidP="00F43C72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Calibri"/>
          <w:kern w:val="0"/>
          <w:sz w:val="32"/>
          <w:szCs w:val="32"/>
        </w:rPr>
      </w:pPr>
      <w:r>
        <w:rPr>
          <w:rFonts w:ascii="仿宋_GB2312" w:eastAsia="仿宋_GB2312" w:hAnsi="Calibri" w:hint="eastAsia"/>
          <w:kern w:val="0"/>
          <w:sz w:val="32"/>
          <w:szCs w:val="32"/>
        </w:rPr>
        <w:t>人身保险学、财产保险学约各占75分</w:t>
      </w:r>
    </w:p>
    <w:p w14:paraId="73377E05" w14:textId="77777777" w:rsidR="00E400FB" w:rsidRDefault="00595715" w:rsidP="00F43C72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Calibri"/>
          <w:kern w:val="0"/>
          <w:sz w:val="32"/>
          <w:szCs w:val="32"/>
        </w:rPr>
      </w:pPr>
      <w:r>
        <w:rPr>
          <w:rFonts w:ascii="仿宋_GB2312" w:eastAsia="仿宋_GB2312" w:hAnsi="Calibri" w:hint="eastAsia"/>
          <w:kern w:val="0"/>
          <w:sz w:val="32"/>
          <w:szCs w:val="32"/>
        </w:rPr>
        <w:t>4、题型结构</w:t>
      </w:r>
    </w:p>
    <w:p w14:paraId="32EA82CC" w14:textId="77777777" w:rsidR="00E400FB" w:rsidRDefault="00595715" w:rsidP="00F43C72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Calibri"/>
          <w:kern w:val="0"/>
          <w:sz w:val="32"/>
          <w:szCs w:val="32"/>
        </w:rPr>
      </w:pPr>
      <w:r>
        <w:rPr>
          <w:rFonts w:ascii="仿宋_GB2312" w:eastAsia="仿宋_GB2312" w:hAnsi="Calibri" w:hint="eastAsia"/>
          <w:kern w:val="0"/>
          <w:sz w:val="32"/>
          <w:szCs w:val="32"/>
        </w:rPr>
        <w:t>名词解释题：6小题，每小题5分，共30分</w:t>
      </w:r>
    </w:p>
    <w:p w14:paraId="69A8A50C" w14:textId="77777777" w:rsidR="00E400FB" w:rsidRDefault="00595715" w:rsidP="00F43C72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Calibri"/>
          <w:kern w:val="0"/>
          <w:sz w:val="32"/>
          <w:szCs w:val="32"/>
        </w:rPr>
      </w:pPr>
      <w:r>
        <w:rPr>
          <w:rFonts w:ascii="仿宋_GB2312" w:eastAsia="仿宋_GB2312" w:hAnsi="Calibri" w:hint="eastAsia"/>
          <w:kern w:val="0"/>
          <w:sz w:val="32"/>
          <w:szCs w:val="32"/>
        </w:rPr>
        <w:t>简  答  题：5小题，每小题12分，共60分</w:t>
      </w:r>
    </w:p>
    <w:p w14:paraId="05D0AE81" w14:textId="77777777" w:rsidR="00E400FB" w:rsidRDefault="00595715" w:rsidP="00F43C72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Calibri"/>
          <w:kern w:val="0"/>
          <w:sz w:val="32"/>
          <w:szCs w:val="32"/>
        </w:rPr>
      </w:pPr>
      <w:r>
        <w:rPr>
          <w:rFonts w:ascii="仿宋_GB2312" w:eastAsia="仿宋_GB2312" w:hAnsi="Calibri" w:hint="eastAsia"/>
          <w:kern w:val="0"/>
          <w:sz w:val="32"/>
          <w:szCs w:val="32"/>
        </w:rPr>
        <w:t>论  述  题：3小题，每小题 20分，共60分</w:t>
      </w:r>
    </w:p>
    <w:p w14:paraId="31C348FB" w14:textId="77777777" w:rsidR="00E400FB" w:rsidRDefault="00595715" w:rsidP="00F43C72">
      <w:pPr>
        <w:spacing w:beforeLines="50" w:before="156" w:afterLines="50" w:after="156" w:line="500" w:lineRule="exact"/>
        <w:ind w:firstLineChars="196" w:firstLine="551"/>
        <w:outlineLvl w:val="0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</w:rPr>
        <w:t>二、考试要求</w:t>
      </w:r>
    </w:p>
    <w:p w14:paraId="2BD38EEA" w14:textId="77777777" w:rsidR="00E400FB" w:rsidRDefault="00595715" w:rsidP="00F43C72">
      <w:pPr>
        <w:widowControl/>
        <w:spacing w:beforeLines="50" w:before="156" w:afterLines="50" w:after="156" w:line="500" w:lineRule="exact"/>
        <w:ind w:firstLineChars="200" w:firstLine="640"/>
        <w:jc w:val="left"/>
        <w:rPr>
          <w:rFonts w:ascii="仿宋_GB2312" w:eastAsia="仿宋_GB2312" w:hAnsi="Calibri"/>
          <w:kern w:val="0"/>
          <w:sz w:val="32"/>
          <w:szCs w:val="32"/>
        </w:rPr>
      </w:pPr>
      <w:r>
        <w:rPr>
          <w:rFonts w:ascii="仿宋_GB2312" w:eastAsia="仿宋_GB2312" w:hAnsi="Calibri" w:hint="eastAsia"/>
          <w:kern w:val="0"/>
          <w:sz w:val="32"/>
          <w:szCs w:val="32"/>
        </w:rPr>
        <w:t>“人身保险与财产保险”是</w:t>
      </w:r>
      <w:r w:rsidR="00F43C72">
        <w:rPr>
          <w:rFonts w:ascii="仿宋_GB2312" w:eastAsia="仿宋_GB2312" w:hAnsi="Calibri" w:hint="eastAsia"/>
          <w:kern w:val="0"/>
          <w:sz w:val="32"/>
          <w:szCs w:val="32"/>
        </w:rPr>
        <w:t>2025</w:t>
      </w:r>
      <w:r>
        <w:rPr>
          <w:rFonts w:ascii="仿宋_GB2312" w:eastAsia="仿宋_GB2312" w:hAnsi="Calibri" w:hint="eastAsia"/>
          <w:kern w:val="0"/>
          <w:sz w:val="32"/>
          <w:szCs w:val="32"/>
        </w:rPr>
        <w:t>年保险硕士专业学位研究生复试专业课程，包括《人身保险学》和《财产保险学》两部分内容。主要</w:t>
      </w:r>
      <w:r>
        <w:rPr>
          <w:rFonts w:ascii="仿宋_GB2312" w:eastAsia="仿宋_GB2312" w:hAnsi="Calibri"/>
          <w:kern w:val="0"/>
          <w:sz w:val="32"/>
          <w:szCs w:val="32"/>
        </w:rPr>
        <w:t>测试考生对</w:t>
      </w:r>
      <w:r>
        <w:rPr>
          <w:rFonts w:ascii="仿宋_GB2312" w:eastAsia="仿宋_GB2312" w:hAnsi="Calibri" w:hint="eastAsia"/>
          <w:kern w:val="0"/>
          <w:sz w:val="32"/>
          <w:szCs w:val="32"/>
        </w:rPr>
        <w:t>于人身保险学和财产保险学</w:t>
      </w:r>
      <w:r>
        <w:rPr>
          <w:rFonts w:ascii="仿宋_GB2312" w:eastAsia="仿宋_GB2312" w:hAnsi="Calibri"/>
          <w:kern w:val="0"/>
          <w:sz w:val="32"/>
          <w:szCs w:val="32"/>
        </w:rPr>
        <w:t>的基本概念、基础</w:t>
      </w:r>
      <w:r>
        <w:rPr>
          <w:rFonts w:ascii="仿宋_GB2312" w:eastAsia="仿宋_GB2312" w:hAnsi="Calibri" w:hint="eastAsia"/>
          <w:kern w:val="0"/>
          <w:sz w:val="32"/>
          <w:szCs w:val="32"/>
        </w:rPr>
        <w:t>理论</w:t>
      </w:r>
      <w:r>
        <w:rPr>
          <w:rFonts w:ascii="仿宋_GB2312" w:eastAsia="仿宋_GB2312" w:hAnsi="Calibri"/>
          <w:kern w:val="0"/>
          <w:sz w:val="32"/>
          <w:szCs w:val="32"/>
        </w:rPr>
        <w:t>的</w:t>
      </w:r>
      <w:r>
        <w:rPr>
          <w:rFonts w:ascii="仿宋_GB2312" w:eastAsia="仿宋_GB2312" w:hAnsi="Calibri" w:hint="eastAsia"/>
          <w:kern w:val="0"/>
          <w:sz w:val="32"/>
          <w:szCs w:val="32"/>
        </w:rPr>
        <w:t>掌握和运用能力</w:t>
      </w:r>
      <w:r>
        <w:rPr>
          <w:rFonts w:ascii="仿宋_GB2312" w:eastAsia="仿宋_GB2312" w:hAnsi="Calibri"/>
          <w:kern w:val="0"/>
          <w:sz w:val="32"/>
          <w:szCs w:val="32"/>
        </w:rPr>
        <w:t>。</w:t>
      </w:r>
    </w:p>
    <w:p w14:paraId="6E1E76A7" w14:textId="77777777" w:rsidR="00E400FB" w:rsidRDefault="00595715">
      <w:pPr>
        <w:spacing w:line="500" w:lineRule="exact"/>
        <w:ind w:firstLine="480"/>
        <w:outlineLvl w:val="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lang w:bidi="hi-IN"/>
        </w:rPr>
        <w:t>三、考试内容</w:t>
      </w:r>
    </w:p>
    <w:p w14:paraId="21BAE818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第一部分　人身保险学</w:t>
      </w:r>
    </w:p>
    <w:p w14:paraId="1A66AB46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（一）人身保险原理</w:t>
      </w:r>
    </w:p>
    <w:p w14:paraId="6FC56C00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1、人身保险的性质</w:t>
      </w:r>
    </w:p>
    <w:p w14:paraId="03CD3876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lastRenderedPageBreak/>
        <w:t>2、提供人寿保险的方法</w:t>
      </w:r>
    </w:p>
    <w:p w14:paraId="72FBAF1A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3、人的生命价值理论</w:t>
      </w:r>
    </w:p>
    <w:p w14:paraId="3C79670A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4、人身保险的特点与作用</w:t>
      </w:r>
    </w:p>
    <w:p w14:paraId="1872C85F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（二）人身保险合同的基本法律原则</w:t>
      </w:r>
    </w:p>
    <w:p w14:paraId="067DA0E8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1、人身保险合同的基本要素</w:t>
      </w:r>
    </w:p>
    <w:p w14:paraId="1C92A732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2、可保利益原则</w:t>
      </w:r>
    </w:p>
    <w:p w14:paraId="4124E482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3、最大诚信原则</w:t>
      </w:r>
    </w:p>
    <w:p w14:paraId="3F5F23AC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4、人身保险合同的其他法律原则：共同灾难、自杀推定、受益人谋杀被保险人等</w:t>
      </w:r>
    </w:p>
    <w:p w14:paraId="3FE84C29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（三）人身保险合同条款</w:t>
      </w:r>
    </w:p>
    <w:p w14:paraId="4DBE9018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1、人身保险合同的组成</w:t>
      </w:r>
    </w:p>
    <w:p w14:paraId="22AAC256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2、标准条款</w:t>
      </w:r>
    </w:p>
    <w:p w14:paraId="0BEE1A03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3、受益人条款、债权人的权利和保险单转让条款</w:t>
      </w:r>
    </w:p>
    <w:p w14:paraId="4868A47B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4、附加特约</w:t>
      </w:r>
    </w:p>
    <w:p w14:paraId="717ACFC8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（四）人寿保险</w:t>
      </w:r>
    </w:p>
    <w:p w14:paraId="0F822857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1、人寿保险的概念、特征和种类</w:t>
      </w:r>
    </w:p>
    <w:p w14:paraId="0F524EAD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2、定期寿险和终身寿险的定义、特点和种类</w:t>
      </w:r>
    </w:p>
    <w:p w14:paraId="63A0F7BF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3、分红保险、变额寿险和万能寿险</w:t>
      </w:r>
    </w:p>
    <w:p w14:paraId="314D3D5E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4、我国现行的主要人寿保险条款</w:t>
      </w:r>
    </w:p>
    <w:p w14:paraId="7B3816F6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（五）健康保险</w:t>
      </w:r>
    </w:p>
    <w:p w14:paraId="31D5D713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1、健康保险的概念、基本内容和特征</w:t>
      </w:r>
    </w:p>
    <w:p w14:paraId="73A8C98B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2、我国现行的主要健康保险（重大疾病保险、医疗保险和住院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lastRenderedPageBreak/>
        <w:t>医疗保险等）条款</w:t>
      </w:r>
    </w:p>
    <w:p w14:paraId="2D48CAF0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（六）人身意外伤害保险</w:t>
      </w:r>
    </w:p>
    <w:p w14:paraId="5C9E3353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1、意外伤害和人身意外伤害保险的概念</w:t>
      </w:r>
    </w:p>
    <w:p w14:paraId="3C23E4B3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2、人身意外伤害保险的特征</w:t>
      </w:r>
    </w:p>
    <w:p w14:paraId="48096FEF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3、人身意外伤害保险的分类情况</w:t>
      </w:r>
    </w:p>
    <w:p w14:paraId="2D17F38D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4、人身意外伤害保险的承保项目、保险责任及给付方式</w:t>
      </w:r>
    </w:p>
    <w:p w14:paraId="0AE725E4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5、我国现行的主要人身意外伤害保险条款</w:t>
      </w:r>
    </w:p>
    <w:p w14:paraId="60A5621C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（七）人身保险的核保和理赔</w:t>
      </w:r>
    </w:p>
    <w:p w14:paraId="43B1B48C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1、人身保险核保、理赔的概念与意义</w:t>
      </w:r>
    </w:p>
    <w:p w14:paraId="136839AD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2、人身保险核保、理赔的程序</w:t>
      </w:r>
    </w:p>
    <w:p w14:paraId="20795B05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3、人身保险业务核保的内容</w:t>
      </w:r>
    </w:p>
    <w:p w14:paraId="6AA598FE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4、人身保险理赔应遵循的原则</w:t>
      </w:r>
    </w:p>
    <w:p w14:paraId="6DEB41BB" w14:textId="77777777" w:rsidR="00E400FB" w:rsidRDefault="00E400FB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</w:p>
    <w:p w14:paraId="75458DA1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第二部分　财产保险学</w:t>
      </w:r>
    </w:p>
    <w:p w14:paraId="08574C82" w14:textId="77777777" w:rsidR="00E400FB" w:rsidRDefault="00595715">
      <w:pPr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（一）财产保险导论</w:t>
      </w:r>
    </w:p>
    <w:p w14:paraId="181EC3D0" w14:textId="77777777" w:rsidR="00E400FB" w:rsidRDefault="00595715">
      <w:pPr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1、财产保险的概念与特征</w:t>
      </w:r>
    </w:p>
    <w:p w14:paraId="6F4AB8F5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2、财产保险的职能与作用</w:t>
      </w:r>
    </w:p>
    <w:p w14:paraId="20A68A43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3、财产保险商品的形态</w:t>
      </w:r>
    </w:p>
    <w:p w14:paraId="3012FE8A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4、财产保险的产生与发展</w:t>
      </w:r>
    </w:p>
    <w:p w14:paraId="63BBB192" w14:textId="77777777" w:rsidR="00E400FB" w:rsidRDefault="00595715">
      <w:pPr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（二）财产保险合同</w:t>
      </w:r>
    </w:p>
    <w:p w14:paraId="32982C25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1、财产保险合同的特点与分类</w:t>
      </w:r>
    </w:p>
    <w:p w14:paraId="12E255D2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2、财产保险合同的基本要素和基本原则</w:t>
      </w:r>
    </w:p>
    <w:p w14:paraId="10030C9E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lastRenderedPageBreak/>
        <w:t>3、财产保险合同的订立、变更、转让、无效和终止</w:t>
      </w:r>
    </w:p>
    <w:p w14:paraId="6007CD22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4、财产保险合同的解释原则和争议处理</w:t>
      </w:r>
    </w:p>
    <w:p w14:paraId="265572FC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（三）财产保险的数理基础</w:t>
      </w:r>
    </w:p>
    <w:p w14:paraId="3728FB06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1、财产保险费率</w:t>
      </w:r>
    </w:p>
    <w:p w14:paraId="3A32E7FA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2、财产保险责任准备金的提存</w:t>
      </w:r>
    </w:p>
    <w:p w14:paraId="4DFA30A5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3、财产保险的财务稳定性</w:t>
      </w:r>
    </w:p>
    <w:p w14:paraId="12290715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（四）财产损失保险</w:t>
      </w:r>
    </w:p>
    <w:p w14:paraId="4B015BA3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1、火灾保险的概念、特征及内容（包括企业财产保险、营业中断保险与家庭财产保险）</w:t>
      </w:r>
    </w:p>
    <w:p w14:paraId="0E256019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2、运输工具保险的概念、特征及内容（包括机动车保险、船舶保险与飞机保险）</w:t>
      </w:r>
    </w:p>
    <w:p w14:paraId="4AE4576E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3、货物运输保险的概念、特征及内容（包括海上货物运输保险与国内货物运输保险）</w:t>
      </w:r>
    </w:p>
    <w:p w14:paraId="34FAE137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（五）责任保险</w:t>
      </w:r>
    </w:p>
    <w:p w14:paraId="179ED50C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1、责任保险的特征与基本内容</w:t>
      </w:r>
    </w:p>
    <w:p w14:paraId="435FED93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2、公共责任保险的主要内容</w:t>
      </w:r>
    </w:p>
    <w:p w14:paraId="5229ED6E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3、产品责任保险的主要内容</w:t>
      </w:r>
    </w:p>
    <w:p w14:paraId="2D866450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4、雇主责任保险的主要内容</w:t>
      </w:r>
    </w:p>
    <w:p w14:paraId="17C31241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5、职业责任保险的主要内容</w:t>
      </w:r>
    </w:p>
    <w:p w14:paraId="319FFC24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（六）信用保险</w:t>
      </w:r>
    </w:p>
    <w:p w14:paraId="6198B137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1、信用保险概念及特征</w:t>
      </w:r>
    </w:p>
    <w:p w14:paraId="39D37767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2、国内信用保险的主要内容</w:t>
      </w:r>
    </w:p>
    <w:p w14:paraId="00987DE4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lastRenderedPageBreak/>
        <w:t>3、出口信用保险的主要内容</w:t>
      </w:r>
    </w:p>
    <w:p w14:paraId="752254A3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4、投资保险的主要内容</w:t>
      </w:r>
    </w:p>
    <w:p w14:paraId="4115F5FD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（七）农业保险</w:t>
      </w:r>
    </w:p>
    <w:p w14:paraId="028ACB32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1、农业保险概念及特征</w:t>
      </w:r>
    </w:p>
    <w:p w14:paraId="21A2004D" w14:textId="77777777" w:rsidR="00E400FB" w:rsidRDefault="00595715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2、农业保险的主要内容</w:t>
      </w:r>
    </w:p>
    <w:p w14:paraId="5EF25A39" w14:textId="77777777" w:rsidR="0060449F" w:rsidRDefault="0060449F" w:rsidP="0060449F">
      <w:pPr>
        <w:spacing w:line="500" w:lineRule="exact"/>
        <w:ind w:firstLine="480"/>
        <w:outlineLvl w:val="0"/>
        <w:rPr>
          <w:rFonts w:ascii="仿宋" w:eastAsia="仿宋" w:hAnsi="仿宋"/>
          <w:b/>
          <w:color w:val="000000" w:themeColor="text1"/>
          <w:sz w:val="28"/>
          <w:szCs w:val="28"/>
          <w:lang w:bidi="hi-IN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  <w:lang w:bidi="hi-IN"/>
        </w:rPr>
        <w:t>四、参考书目</w:t>
      </w:r>
    </w:p>
    <w:p w14:paraId="127C1BCB" w14:textId="77777777" w:rsidR="0060449F" w:rsidRPr="009A1F5E" w:rsidRDefault="0060449F" w:rsidP="009A1F5E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 w:rsidRPr="009A1F5E">
        <w:rPr>
          <w:rFonts w:ascii="仿宋" w:eastAsia="仿宋" w:hAnsi="仿宋" w:hint="eastAsia"/>
          <w:color w:val="000000" w:themeColor="text1"/>
          <w:sz w:val="28"/>
          <w:szCs w:val="28"/>
        </w:rPr>
        <w:t>1.《人身保险原理和实务》，第四版，许谨良主编，上海财经大学出版社</w:t>
      </w:r>
    </w:p>
    <w:p w14:paraId="3E43017B" w14:textId="77777777" w:rsidR="0060449F" w:rsidRDefault="0060449F" w:rsidP="009A1F5E">
      <w:pPr>
        <w:spacing w:line="30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 w:rsidRPr="009A1F5E">
        <w:rPr>
          <w:rFonts w:ascii="仿宋" w:eastAsia="仿宋" w:hAnsi="仿宋" w:hint="eastAsia"/>
          <w:color w:val="000000" w:themeColor="text1"/>
          <w:sz w:val="28"/>
          <w:szCs w:val="28"/>
        </w:rPr>
        <w:t>2.《财产保险学》，第三版，王绪瑾主编，北京大学出版社</w:t>
      </w:r>
    </w:p>
    <w:p w14:paraId="2B9C9125" w14:textId="77777777" w:rsidR="00E400FB" w:rsidRDefault="00E400FB">
      <w:pPr>
        <w:rPr>
          <w:rFonts w:ascii="仿宋" w:eastAsia="仿宋" w:hAnsi="仿宋"/>
          <w:color w:val="000000" w:themeColor="text1"/>
          <w:sz w:val="28"/>
          <w:szCs w:val="28"/>
        </w:rPr>
      </w:pPr>
    </w:p>
    <w:sectPr w:rsidR="00E400FB" w:rsidSect="009B329C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51BCCB" w14:textId="77777777" w:rsidR="00582160" w:rsidRDefault="00582160">
      <w:r>
        <w:separator/>
      </w:r>
    </w:p>
  </w:endnote>
  <w:endnote w:type="continuationSeparator" w:id="0">
    <w:p w14:paraId="38E19DE5" w14:textId="77777777" w:rsidR="00582160" w:rsidRDefault="00582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73E0D" w14:textId="77777777" w:rsidR="00E400FB" w:rsidRDefault="009B329C">
    <w:pPr>
      <w:pStyle w:val="a3"/>
      <w:framePr w:wrap="around" w:vAnchor="text" w:hAnchor="margin" w:xAlign="right" w:y="1"/>
      <w:tabs>
        <w:tab w:val="center" w:pos="4153"/>
        <w:tab w:val="right" w:pos="8306"/>
      </w:tabs>
      <w:rPr>
        <w:rStyle w:val="a7"/>
      </w:rPr>
    </w:pPr>
    <w:r>
      <w:fldChar w:fldCharType="begin"/>
    </w:r>
    <w:r w:rsidR="00595715">
      <w:rPr>
        <w:rStyle w:val="a7"/>
      </w:rPr>
      <w:instrText xml:space="preserve">PAGE  </w:instrText>
    </w:r>
    <w:r>
      <w:fldChar w:fldCharType="end"/>
    </w:r>
  </w:p>
  <w:p w14:paraId="69446D89" w14:textId="77777777" w:rsidR="00E400FB" w:rsidRDefault="00E400FB">
    <w:pPr>
      <w:pStyle w:val="a3"/>
      <w:tabs>
        <w:tab w:val="center" w:pos="4153"/>
        <w:tab w:val="right" w:pos="8306"/>
      </w:tabs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29893" w14:textId="72E9AFDB" w:rsidR="00E400FB" w:rsidRDefault="009B329C">
    <w:pPr>
      <w:pStyle w:val="a3"/>
      <w:tabs>
        <w:tab w:val="center" w:pos="4153"/>
        <w:tab w:val="right" w:pos="8306"/>
      </w:tabs>
      <w:jc w:val="center"/>
    </w:pPr>
    <w:r>
      <w:fldChar w:fldCharType="begin"/>
    </w:r>
    <w:r w:rsidR="00595715">
      <w:instrText xml:space="preserve"> PAGE   \* MERGEFORMAT </w:instrText>
    </w:r>
    <w:r>
      <w:fldChar w:fldCharType="separate"/>
    </w:r>
    <w:r w:rsidR="00DC5AD9" w:rsidRPr="00DC5AD9">
      <w:rPr>
        <w:noProof/>
        <w:lang w:val="zh-CN"/>
      </w:rPr>
      <w:t>2</w:t>
    </w:r>
    <w:r>
      <w:fldChar w:fldCharType="end"/>
    </w:r>
  </w:p>
  <w:p w14:paraId="35042169" w14:textId="77777777" w:rsidR="00E400FB" w:rsidRDefault="00E400FB">
    <w:pPr>
      <w:pStyle w:val="a3"/>
      <w:tabs>
        <w:tab w:val="center" w:pos="4153"/>
        <w:tab w:val="right" w:pos="8306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D04BD" w14:textId="77777777" w:rsidR="00582160" w:rsidRDefault="00582160">
      <w:r>
        <w:separator/>
      </w:r>
    </w:p>
  </w:footnote>
  <w:footnote w:type="continuationSeparator" w:id="0">
    <w:p w14:paraId="7FA87407" w14:textId="77777777" w:rsidR="00582160" w:rsidRDefault="00582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2CF20" w14:textId="77777777" w:rsidR="00E400FB" w:rsidRDefault="00E400FB">
    <w:pPr>
      <w:pStyle w:val="a5"/>
      <w:tabs>
        <w:tab w:val="center" w:pos="4153"/>
        <w:tab w:val="right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commondata" w:val="eyJoZGlkIjoiMDQzZWY0MTQ4MzkxOTU2MzAyMTY3YmM5ZDk3MjkyMDAifQ=="/>
  </w:docVars>
  <w:rsids>
    <w:rsidRoot w:val="00786A0B"/>
    <w:rsid w:val="00056E7C"/>
    <w:rsid w:val="000575FC"/>
    <w:rsid w:val="000A6AE8"/>
    <w:rsid w:val="000C4E0C"/>
    <w:rsid w:val="000D1FC6"/>
    <w:rsid w:val="00134C7B"/>
    <w:rsid w:val="001E1433"/>
    <w:rsid w:val="002417A1"/>
    <w:rsid w:val="00312442"/>
    <w:rsid w:val="00385A3F"/>
    <w:rsid w:val="003D240D"/>
    <w:rsid w:val="00433E17"/>
    <w:rsid w:val="004E392B"/>
    <w:rsid w:val="00505152"/>
    <w:rsid w:val="00517EEF"/>
    <w:rsid w:val="005211B6"/>
    <w:rsid w:val="005401DD"/>
    <w:rsid w:val="00582160"/>
    <w:rsid w:val="00595715"/>
    <w:rsid w:val="0060449F"/>
    <w:rsid w:val="00630A79"/>
    <w:rsid w:val="00652DCA"/>
    <w:rsid w:val="00655CC4"/>
    <w:rsid w:val="00672F28"/>
    <w:rsid w:val="006C1FFA"/>
    <w:rsid w:val="006D66BA"/>
    <w:rsid w:val="006E7A5D"/>
    <w:rsid w:val="006F38F8"/>
    <w:rsid w:val="00710AEA"/>
    <w:rsid w:val="00757C2B"/>
    <w:rsid w:val="0077025E"/>
    <w:rsid w:val="007748B5"/>
    <w:rsid w:val="007753CE"/>
    <w:rsid w:val="00786A0B"/>
    <w:rsid w:val="007A3301"/>
    <w:rsid w:val="007C23F8"/>
    <w:rsid w:val="00882245"/>
    <w:rsid w:val="00896B74"/>
    <w:rsid w:val="008A17DF"/>
    <w:rsid w:val="009239CE"/>
    <w:rsid w:val="00986053"/>
    <w:rsid w:val="009A1F5E"/>
    <w:rsid w:val="009B329C"/>
    <w:rsid w:val="009F5FF6"/>
    <w:rsid w:val="00A166DB"/>
    <w:rsid w:val="00AD17B2"/>
    <w:rsid w:val="00B00F17"/>
    <w:rsid w:val="00B40DC9"/>
    <w:rsid w:val="00B45D98"/>
    <w:rsid w:val="00BF64F7"/>
    <w:rsid w:val="00C648C5"/>
    <w:rsid w:val="00D20634"/>
    <w:rsid w:val="00D330EA"/>
    <w:rsid w:val="00D60BD9"/>
    <w:rsid w:val="00D655C2"/>
    <w:rsid w:val="00DA530E"/>
    <w:rsid w:val="00DC3499"/>
    <w:rsid w:val="00DC5AD9"/>
    <w:rsid w:val="00E400FB"/>
    <w:rsid w:val="00E43A2D"/>
    <w:rsid w:val="00EC36C6"/>
    <w:rsid w:val="00F22F52"/>
    <w:rsid w:val="00F25950"/>
    <w:rsid w:val="00F43C72"/>
    <w:rsid w:val="00FA05CA"/>
    <w:rsid w:val="00FC14A3"/>
    <w:rsid w:val="33EF1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AF5E80"/>
  <w15:docId w15:val="{46191E84-4A68-4D53-87B6-D787EF40B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29C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B329C"/>
    <w:pPr>
      <w:tabs>
        <w:tab w:val="center" w:pos="4320"/>
        <w:tab w:val="right" w:pos="8640"/>
      </w:tabs>
    </w:pPr>
  </w:style>
  <w:style w:type="paragraph" w:styleId="a5">
    <w:name w:val="header"/>
    <w:basedOn w:val="a"/>
    <w:link w:val="a6"/>
    <w:unhideWhenUsed/>
    <w:rsid w:val="009B329C"/>
    <w:pPr>
      <w:tabs>
        <w:tab w:val="center" w:pos="4320"/>
        <w:tab w:val="right" w:pos="8640"/>
      </w:tabs>
    </w:pPr>
  </w:style>
  <w:style w:type="character" w:styleId="a7">
    <w:name w:val="page number"/>
    <w:basedOn w:val="a0"/>
    <w:rsid w:val="009B329C"/>
  </w:style>
  <w:style w:type="character" w:customStyle="1" w:styleId="a6">
    <w:name w:val="页眉 字符"/>
    <w:basedOn w:val="a0"/>
    <w:link w:val="a5"/>
    <w:uiPriority w:val="99"/>
    <w:semiHidden/>
    <w:rsid w:val="009B329C"/>
  </w:style>
  <w:style w:type="character" w:customStyle="1" w:styleId="a4">
    <w:name w:val="页脚 字符"/>
    <w:basedOn w:val="a0"/>
    <w:link w:val="a3"/>
    <w:uiPriority w:val="99"/>
    <w:rsid w:val="009B3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xiliang130@126.com</dc:creator>
  <cp:lastModifiedBy>周怡年</cp:lastModifiedBy>
  <cp:revision>17</cp:revision>
  <cp:lastPrinted>2024-07-16T05:18:00Z</cp:lastPrinted>
  <dcterms:created xsi:type="dcterms:W3CDTF">2021-09-05T08:32:00Z</dcterms:created>
  <dcterms:modified xsi:type="dcterms:W3CDTF">2024-08-22T08:35:00Z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E43F4B99C2A342CF82132365C3625572</vt:lpwstr>
  </property>
</Properties>
</file>